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SZ_VERWALTUNGSGERICHT III 2025 2 vom 18. Juni 2025</w:t>
      </w:r>
    </w:p>
    <w:p>
      <w:r>
        <w:t>Sz Verwaltungsgericht, 2025-06-18, DE</w:t>
      </w:r>
    </w:p>
    <w:p>
      <w:r>
        <w:rPr>
          <w:b/>
        </w:rPr>
        <w:t xml:space="preserve">Quelle: </w:t>
      </w:r>
      <w:r>
        <w:t>https://mcp.opencaselaw.ch/entscheid/sz_verwaltungsgericht_III 2025 2</w:t>
      </w:r>
    </w:p>
    <w:p>
      <w:r>
        <w:t>FR: SZ_VERWALTUNGSGERICHT III 2025 2 du 18 juin 2025</w:t>
      </w:r>
    </w:p>
    <w:p>
      <w:r>
        <w:t>IT: SZ_VERWALTUNGSGERICHT III 2025 2 del 18 giugno 2025</w:t>
      </w:r>
    </w:p>
    <w:p>
      <w:pPr>
        <w:pStyle w:val="Heading2"/>
      </w:pPr>
      <w:r>
        <w:t>Regeste</w:t>
      </w:r>
    </w:p>
    <w:p>
      <w:r>
        <w:t>Planungs- und Baurecht (Baubewilligung) | Planungs- und Baurecht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Vor dem Erlass eines Entscheides prüft das Verwaltungsgericht von Amtes wegen, ob die Voraussetzungen für einen Sachentscheid erfüllt sind (vgl. § 27 Abs. 1 des Verwaltungsrechtspflegegesetzes [VRP; SRSZ 234.110] vom 6.6.1974). Es prüft insbesondere die Zuständigkeit, die Rechtsmittelbefugnis und die frist- und formgerechte Geltendmachung des Rechtsanspruchs (vgl.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